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39" w:rsidRPr="00035348" w:rsidRDefault="00096F39" w:rsidP="00096F39">
      <w:pPr>
        <w:keepNext/>
        <w:keepLines/>
        <w:spacing w:before="120" w:line="240" w:lineRule="auto"/>
        <w:jc w:val="center"/>
        <w:outlineLvl w:val="1"/>
        <w:rPr>
          <w:b/>
        </w:rPr>
      </w:pPr>
      <w:r w:rsidRPr="00035348">
        <w:rPr>
          <w:b/>
        </w:rPr>
        <w:t>ПРЕДИСЛОВИЕ К МЕЖДУНАРОДНЫМ СТАНДАРТАМ КОНТРОЛЯ КАЧЕСТВА, АУДИТА, ОБЗОРНЫХ ПРОВЕРОК, ПРОЧИХ ЗАДАНИЙ ПО ПОДТВЕРЖДЕНИЮ ДОСТОВЕРНОСТИ ИНФОРМАЦИИ И СОПУТСТВУЮЩИХ УСЛУГ</w:t>
      </w:r>
    </w:p>
    <w:p w:rsidR="00096F39" w:rsidRPr="00035348" w:rsidRDefault="00096F39" w:rsidP="00096F39">
      <w:pPr>
        <w:pStyle w:val="Heading2"/>
        <w:spacing w:before="120" w:after="0" w:line="240" w:lineRule="auto"/>
        <w:jc w:val="center"/>
        <w:rPr>
          <w:b w:val="0"/>
          <w:sz w:val="24"/>
          <w:szCs w:val="24"/>
        </w:rPr>
      </w:pPr>
      <w:r w:rsidRPr="00035348">
        <w:rPr>
          <w:sz w:val="24"/>
          <w:szCs w:val="24"/>
        </w:rPr>
        <w:t>(Вступает в силу с 15 декабря 2011 г.)</w:t>
      </w:r>
    </w:p>
    <w:p w:rsidR="00096F39" w:rsidRPr="00035348" w:rsidRDefault="00096F39" w:rsidP="00096F39">
      <w:pPr>
        <w:pStyle w:val="Heading2"/>
        <w:spacing w:before="120" w:after="0" w:line="240" w:lineRule="auto"/>
        <w:rPr>
          <w:sz w:val="24"/>
          <w:szCs w:val="24"/>
        </w:rPr>
      </w:pPr>
      <w:r w:rsidRPr="00035348">
        <w:rPr>
          <w:sz w:val="24"/>
          <w:szCs w:val="24"/>
        </w:rPr>
        <w:t>Введение</w:t>
      </w:r>
    </w:p>
    <w:p w:rsidR="00096F39" w:rsidRPr="00035348" w:rsidRDefault="00096F39" w:rsidP="00096F39">
      <w:pPr>
        <w:pStyle w:val="NumberedParagraph-BulletelistLeft0Firstline0"/>
        <w:numPr>
          <w:ilvl w:val="0"/>
          <w:numId w:val="0"/>
        </w:numPr>
        <w:tabs>
          <w:tab w:val="num" w:pos="720"/>
        </w:tabs>
        <w:spacing w:line="240" w:lineRule="auto"/>
        <w:ind w:left="720" w:hanging="576"/>
        <w:rPr>
          <w:spacing w:val="-2"/>
          <w:sz w:val="24"/>
          <w:szCs w:val="24"/>
        </w:rPr>
      </w:pPr>
      <w:r w:rsidRPr="00035348">
        <w:rPr>
          <w:spacing w:val="-2"/>
          <w:sz w:val="24"/>
          <w:szCs w:val="24"/>
        </w:rPr>
        <w:t>1.</w:t>
      </w:r>
      <w:r w:rsidRPr="00035348">
        <w:rPr>
          <w:spacing w:val="-2"/>
          <w:sz w:val="24"/>
          <w:szCs w:val="24"/>
        </w:rPr>
        <w:tab/>
        <w:t xml:space="preserve">Цель данного предисловия к Международным стандартам контроля качества, аудита, обзорной проверки, иного подтверждения достоверности информации и сопутствующих услуг («Международные стандарты» или «Стандарты </w:t>
      </w:r>
      <w:r w:rsidRPr="00035348">
        <w:rPr>
          <w:spacing w:val="-2"/>
          <w:sz w:val="24"/>
          <w:szCs w:val="24"/>
          <w:lang w:val="en-US"/>
        </w:rPr>
        <w:t>IAASB</w:t>
      </w:r>
      <w:r w:rsidRPr="00035348">
        <w:rPr>
          <w:spacing w:val="-2"/>
          <w:sz w:val="24"/>
          <w:szCs w:val="24"/>
        </w:rPr>
        <w:t>») – облегчить понимание сферы действия и применения документов, издаваемых Комитетом по международным стандартам аудита и подтверждения достоверности информации (</w:t>
      </w:r>
      <w:r w:rsidRPr="00035348">
        <w:rPr>
          <w:spacing w:val="-2"/>
          <w:sz w:val="24"/>
          <w:szCs w:val="24"/>
          <w:lang w:val="en-US"/>
        </w:rPr>
        <w:t>IAASB</w:t>
      </w:r>
      <w:r w:rsidRPr="00035348">
        <w:rPr>
          <w:spacing w:val="-2"/>
          <w:sz w:val="24"/>
          <w:szCs w:val="24"/>
        </w:rPr>
        <w:t xml:space="preserve">), как предусмотрено Положением о </w:t>
      </w:r>
      <w:r w:rsidRPr="00035348">
        <w:rPr>
          <w:spacing w:val="-2"/>
          <w:sz w:val="24"/>
          <w:szCs w:val="24"/>
          <w:lang w:val="en-US"/>
        </w:rPr>
        <w:t>IAASB</w:t>
      </w:r>
      <w:r w:rsidRPr="00035348">
        <w:rPr>
          <w:spacing w:val="-2"/>
          <w:sz w:val="24"/>
          <w:szCs w:val="24"/>
        </w:rPr>
        <w:t>.</w:t>
      </w:r>
    </w:p>
    <w:p w:rsidR="00096F39" w:rsidRPr="00035348" w:rsidRDefault="00096F39" w:rsidP="00096F39">
      <w:pPr>
        <w:pStyle w:val="NumberedParagraph-BulletelistLeft0Firstline0"/>
        <w:numPr>
          <w:ilvl w:val="0"/>
          <w:numId w:val="0"/>
        </w:numPr>
        <w:tabs>
          <w:tab w:val="num" w:pos="720"/>
        </w:tabs>
        <w:spacing w:line="240" w:lineRule="auto"/>
        <w:ind w:left="720" w:hanging="576"/>
        <w:rPr>
          <w:spacing w:val="-2"/>
          <w:sz w:val="24"/>
          <w:szCs w:val="24"/>
        </w:rPr>
      </w:pPr>
      <w:r w:rsidRPr="00035348">
        <w:rPr>
          <w:spacing w:val="-2"/>
          <w:sz w:val="24"/>
          <w:szCs w:val="24"/>
        </w:rPr>
        <w:t>2.</w:t>
      </w:r>
      <w:r w:rsidRPr="00035348">
        <w:rPr>
          <w:spacing w:val="-2"/>
          <w:sz w:val="24"/>
          <w:szCs w:val="24"/>
        </w:rPr>
        <w:tab/>
        <w:t xml:space="preserve">Комитет </w:t>
      </w:r>
      <w:r w:rsidRPr="00035348">
        <w:rPr>
          <w:spacing w:val="-2"/>
          <w:sz w:val="24"/>
          <w:szCs w:val="24"/>
          <w:lang w:val="en-US"/>
        </w:rPr>
        <w:t>IAASB</w:t>
      </w:r>
      <w:r w:rsidRPr="00035348">
        <w:rPr>
          <w:spacing w:val="-2"/>
          <w:sz w:val="24"/>
          <w:szCs w:val="24"/>
        </w:rPr>
        <w:t xml:space="preserve"> ставит своей целью разработку комплекса Международных стандартов для использования во всем мире. Члены комитета действуют в интересах общественности и профессиональных бухгалтеров по всему миру. В результате их позиция по определенным вопросам может не соответствовать практике, существующей в их стране или фирме, или позиции лиц, выдвинувших их в члены </w:t>
      </w:r>
      <w:r w:rsidRPr="00035348">
        <w:rPr>
          <w:spacing w:val="-2"/>
          <w:sz w:val="24"/>
          <w:szCs w:val="24"/>
          <w:lang w:val="en-US"/>
        </w:rPr>
        <w:t>IAASB</w:t>
      </w:r>
      <w:r w:rsidRPr="00035348">
        <w:rPr>
          <w:spacing w:val="-2"/>
          <w:sz w:val="24"/>
          <w:szCs w:val="24"/>
        </w:rPr>
        <w:t xml:space="preserve">. </w:t>
      </w:r>
    </w:p>
    <w:p w:rsidR="00096F39" w:rsidRPr="00035348" w:rsidRDefault="00096F39" w:rsidP="00096F39">
      <w:pPr>
        <w:pStyle w:val="Heading2"/>
        <w:spacing w:before="120" w:after="0" w:line="240" w:lineRule="auto"/>
        <w:rPr>
          <w:spacing w:val="-2"/>
          <w:sz w:val="24"/>
          <w:szCs w:val="24"/>
        </w:rPr>
      </w:pPr>
      <w:r w:rsidRPr="00035348">
        <w:rPr>
          <w:sz w:val="24"/>
          <w:szCs w:val="24"/>
        </w:rPr>
        <w:t xml:space="preserve">Документы </w:t>
      </w:r>
      <w:r w:rsidRPr="00035348">
        <w:rPr>
          <w:spacing w:val="-2"/>
          <w:sz w:val="24"/>
          <w:szCs w:val="24"/>
          <w:lang w:val="en-US"/>
        </w:rPr>
        <w:t>IAASB</w:t>
      </w:r>
    </w:p>
    <w:p w:rsidR="00096F39" w:rsidRPr="00035348" w:rsidRDefault="00096F39" w:rsidP="00096F39">
      <w:pPr>
        <w:pStyle w:val="NumberedParagraph"/>
        <w:spacing w:before="120" w:line="240" w:lineRule="auto"/>
        <w:jc w:val="left"/>
        <w:rPr>
          <w:b/>
        </w:rPr>
      </w:pPr>
      <w:r w:rsidRPr="00035348">
        <w:rPr>
          <w:b/>
        </w:rPr>
        <w:t>Официальные документы IAASB</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3.</w:t>
      </w:r>
      <w:r w:rsidRPr="00035348">
        <w:rPr>
          <w:sz w:val="24"/>
          <w:szCs w:val="24"/>
        </w:rPr>
        <w:tab/>
        <w:t xml:space="preserve">Документы </w:t>
      </w:r>
      <w:r w:rsidRPr="00035348">
        <w:rPr>
          <w:spacing w:val="-2"/>
          <w:sz w:val="24"/>
          <w:szCs w:val="24"/>
          <w:lang w:val="en-US"/>
        </w:rPr>
        <w:t>IAASB</w:t>
      </w:r>
      <w:r w:rsidRPr="00035348">
        <w:rPr>
          <w:sz w:val="24"/>
          <w:szCs w:val="24"/>
        </w:rPr>
        <w:t xml:space="preserve"> регулируют задания по аудиту, обзорной проверке, иному подтверждению достоверности информации и сопутствующим услугам, которые проводятся в соответствии с Международными стандартами. Они не отменяют местны</w:t>
      </w:r>
      <w:r>
        <w:rPr>
          <w:sz w:val="24"/>
          <w:szCs w:val="24"/>
        </w:rPr>
        <w:t>х</w:t>
      </w:r>
      <w:r w:rsidRPr="00035348">
        <w:rPr>
          <w:sz w:val="24"/>
          <w:szCs w:val="24"/>
        </w:rPr>
        <w:t xml:space="preserve"> законодательны</w:t>
      </w:r>
      <w:r>
        <w:rPr>
          <w:sz w:val="24"/>
          <w:szCs w:val="24"/>
        </w:rPr>
        <w:t>х</w:t>
      </w:r>
      <w:r w:rsidRPr="00035348">
        <w:rPr>
          <w:sz w:val="24"/>
          <w:szCs w:val="24"/>
        </w:rPr>
        <w:t xml:space="preserve"> и нормативны</w:t>
      </w:r>
      <w:r>
        <w:rPr>
          <w:sz w:val="24"/>
          <w:szCs w:val="24"/>
        </w:rPr>
        <w:t>х</w:t>
      </w:r>
      <w:r w:rsidRPr="00035348">
        <w:rPr>
          <w:sz w:val="24"/>
          <w:szCs w:val="24"/>
        </w:rPr>
        <w:t xml:space="preserve"> акт</w:t>
      </w:r>
      <w:r>
        <w:rPr>
          <w:sz w:val="24"/>
          <w:szCs w:val="24"/>
        </w:rPr>
        <w:t>ов</w:t>
      </w:r>
      <w:r w:rsidRPr="00035348">
        <w:rPr>
          <w:sz w:val="24"/>
          <w:szCs w:val="24"/>
        </w:rPr>
        <w:t>, регулирующи</w:t>
      </w:r>
      <w:r>
        <w:rPr>
          <w:sz w:val="24"/>
          <w:szCs w:val="24"/>
        </w:rPr>
        <w:t>х</w:t>
      </w:r>
      <w:r w:rsidRPr="00035348">
        <w:rPr>
          <w:sz w:val="24"/>
          <w:szCs w:val="24"/>
        </w:rPr>
        <w:t xml:space="preserve"> аудит финансовой отчетности за прошлые периоды или задания по подтверждению достоверности другой информации в той или иной стране, которые необходимо соблюдать в соответствии с национальными стандартами этой страны. В случае когда местные законодательные и нормативные акты отличаются от Стандартов </w:t>
      </w:r>
      <w:r w:rsidRPr="00035348">
        <w:rPr>
          <w:spacing w:val="-2"/>
          <w:sz w:val="24"/>
          <w:szCs w:val="24"/>
          <w:lang w:val="en-US"/>
        </w:rPr>
        <w:t>IAASB</w:t>
      </w:r>
      <w:r w:rsidRPr="00035348">
        <w:rPr>
          <w:sz w:val="24"/>
          <w:szCs w:val="24"/>
        </w:rPr>
        <w:t xml:space="preserve"> по какому-либо конкретному вопросу или противоречат им, задание, выполненное в соответствии с местными актами, не будет автоматически соответствовать Стандартам </w:t>
      </w:r>
      <w:r w:rsidRPr="00035348">
        <w:rPr>
          <w:spacing w:val="-2"/>
          <w:sz w:val="24"/>
          <w:szCs w:val="24"/>
          <w:lang w:val="en-US"/>
        </w:rPr>
        <w:t>IAASB</w:t>
      </w:r>
      <w:r w:rsidRPr="00035348">
        <w:rPr>
          <w:sz w:val="24"/>
          <w:szCs w:val="24"/>
        </w:rPr>
        <w:t xml:space="preserve">. Профессиональный бухгалтер имеет право делать заявление о соответствии Стандартам </w:t>
      </w:r>
      <w:r w:rsidRPr="00035348">
        <w:rPr>
          <w:spacing w:val="-2"/>
          <w:sz w:val="24"/>
          <w:szCs w:val="24"/>
          <w:lang w:val="en-US"/>
        </w:rPr>
        <w:t>IAASB</w:t>
      </w:r>
      <w:r w:rsidRPr="00035348">
        <w:rPr>
          <w:sz w:val="24"/>
          <w:szCs w:val="24"/>
        </w:rPr>
        <w:t xml:space="preserve"> только в том случае, когда выполненное им задание полностью соответствует всем стандартам, имеющим отношение к такому заданию.</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4.    Официальными документами IAASB являются Международные стандарты, которые выпускаются в установленном IAASB порядке.</w:t>
      </w:r>
    </w:p>
    <w:p w:rsidR="00096F39" w:rsidRPr="00035348" w:rsidRDefault="00096F39" w:rsidP="00096F39">
      <w:pPr>
        <w:pStyle w:val="Heading2"/>
        <w:spacing w:before="120" w:after="0" w:line="240" w:lineRule="auto"/>
        <w:rPr>
          <w:sz w:val="24"/>
          <w:szCs w:val="24"/>
        </w:rPr>
      </w:pPr>
      <w:r w:rsidRPr="00035348">
        <w:rPr>
          <w:sz w:val="24"/>
          <w:szCs w:val="24"/>
        </w:rPr>
        <w:t>Сфера действия Международных стандартов, изданных Комитетом по международным стандартам аудита и подтверждения достоверности информации</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5.</w:t>
      </w:r>
      <w:r w:rsidRPr="00035348">
        <w:rPr>
          <w:sz w:val="24"/>
          <w:szCs w:val="24"/>
        </w:rPr>
        <w:tab/>
        <w:t xml:space="preserve">Международные стандарты аудита (МСА) следует применять к аудиту финансовой информации за прошлые периоды. </w:t>
      </w:r>
    </w:p>
    <w:p w:rsidR="00096F39" w:rsidRPr="00035348" w:rsidRDefault="00096F39" w:rsidP="00096F39">
      <w:pPr>
        <w:pStyle w:val="NumberedParagraph-BulletelistLeft0Firstline0"/>
        <w:numPr>
          <w:ilvl w:val="0"/>
          <w:numId w:val="0"/>
        </w:numPr>
        <w:tabs>
          <w:tab w:val="num" w:pos="720"/>
        </w:tabs>
        <w:spacing w:after="120" w:line="240" w:lineRule="auto"/>
        <w:ind w:left="720" w:hanging="576"/>
        <w:rPr>
          <w:sz w:val="24"/>
          <w:szCs w:val="24"/>
        </w:rPr>
      </w:pPr>
      <w:r w:rsidRPr="00035348">
        <w:rPr>
          <w:sz w:val="24"/>
          <w:szCs w:val="24"/>
        </w:rPr>
        <w:t>6.</w:t>
      </w:r>
      <w:r w:rsidRPr="00035348">
        <w:rPr>
          <w:sz w:val="24"/>
          <w:szCs w:val="24"/>
        </w:rPr>
        <w:tab/>
        <w:t>Международные стандарты обзорных проверок (</w:t>
      </w:r>
      <w:r w:rsidRPr="00035348">
        <w:rPr>
          <w:sz w:val="24"/>
          <w:szCs w:val="24"/>
          <w:lang w:val="en-US"/>
        </w:rPr>
        <w:t>ISRE</w:t>
      </w:r>
      <w:r w:rsidRPr="00035348">
        <w:rPr>
          <w:sz w:val="24"/>
          <w:szCs w:val="24"/>
        </w:rPr>
        <w:t>) следует применять к обзорным проверкам финансовой информации за прошлые периоды.</w:t>
      </w:r>
    </w:p>
    <w:p w:rsidR="00096F39" w:rsidRPr="00035348" w:rsidRDefault="00096F39" w:rsidP="00096F39">
      <w:pPr>
        <w:pStyle w:val="NumberedParagraph-BulletelistLeft0Firstline0"/>
        <w:numPr>
          <w:ilvl w:val="0"/>
          <w:numId w:val="0"/>
        </w:numPr>
        <w:tabs>
          <w:tab w:val="num" w:pos="720"/>
        </w:tabs>
        <w:spacing w:after="120" w:line="240" w:lineRule="auto"/>
        <w:ind w:left="720" w:hanging="576"/>
        <w:rPr>
          <w:sz w:val="24"/>
          <w:szCs w:val="24"/>
        </w:rPr>
      </w:pPr>
      <w:r w:rsidRPr="00035348">
        <w:rPr>
          <w:sz w:val="24"/>
          <w:szCs w:val="24"/>
        </w:rPr>
        <w:t>7.</w:t>
      </w:r>
      <w:r w:rsidRPr="00035348">
        <w:rPr>
          <w:sz w:val="24"/>
          <w:szCs w:val="24"/>
        </w:rPr>
        <w:tab/>
        <w:t>Международные стандарты заданий по подтверждению достоверности информации (</w:t>
      </w:r>
      <w:r w:rsidRPr="00035348">
        <w:rPr>
          <w:sz w:val="24"/>
          <w:szCs w:val="24"/>
          <w:lang w:val="en-US"/>
        </w:rPr>
        <w:t>ISAE</w:t>
      </w:r>
      <w:r w:rsidRPr="00035348">
        <w:rPr>
          <w:sz w:val="24"/>
          <w:szCs w:val="24"/>
        </w:rPr>
        <w:t>) следует применять ко всем заданиям по подтверждению достоверности информации, кроме аудита и обзорной проверки финансовой информации за прошлые периоды.</w:t>
      </w:r>
    </w:p>
    <w:p w:rsidR="00096F39" w:rsidRPr="00035348" w:rsidRDefault="00096F39" w:rsidP="00096F39">
      <w:pPr>
        <w:pStyle w:val="NumberedParagraph-BulletelistLeft0Firstline0"/>
        <w:numPr>
          <w:ilvl w:val="0"/>
          <w:numId w:val="0"/>
        </w:numPr>
        <w:tabs>
          <w:tab w:val="num" w:pos="720"/>
        </w:tabs>
        <w:spacing w:line="240" w:lineRule="auto"/>
        <w:ind w:left="720" w:hanging="576"/>
        <w:rPr>
          <w:spacing w:val="-2"/>
          <w:sz w:val="24"/>
          <w:szCs w:val="24"/>
        </w:rPr>
      </w:pPr>
      <w:r w:rsidRPr="00035348">
        <w:rPr>
          <w:spacing w:val="-2"/>
          <w:sz w:val="24"/>
          <w:szCs w:val="24"/>
        </w:rPr>
        <w:lastRenderedPageBreak/>
        <w:t>8.</w:t>
      </w:r>
      <w:r w:rsidRPr="00035348">
        <w:rPr>
          <w:spacing w:val="-2"/>
          <w:sz w:val="24"/>
          <w:szCs w:val="24"/>
        </w:rPr>
        <w:tab/>
        <w:t>Международные стандарты сопутствующих услуг (</w:t>
      </w:r>
      <w:r w:rsidRPr="00035348">
        <w:rPr>
          <w:spacing w:val="-2"/>
          <w:sz w:val="24"/>
          <w:szCs w:val="24"/>
          <w:lang w:val="en-US"/>
        </w:rPr>
        <w:t>ISRS</w:t>
      </w:r>
      <w:r w:rsidRPr="00035348">
        <w:rPr>
          <w:spacing w:val="-2"/>
          <w:sz w:val="24"/>
          <w:szCs w:val="24"/>
        </w:rPr>
        <w:t>) следует применять к заданиям по подготовке информации, заданиям по применению к информации предварительно согласованных процедур и другим сопутствующим услугам в соответствии с требованиями IAASB.</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9.</w:t>
      </w:r>
      <w:r w:rsidRPr="00035348">
        <w:rPr>
          <w:sz w:val="24"/>
          <w:szCs w:val="24"/>
        </w:rPr>
        <w:tab/>
        <w:t xml:space="preserve">Стандарты МСА, </w:t>
      </w:r>
      <w:r w:rsidRPr="00035348">
        <w:rPr>
          <w:sz w:val="24"/>
          <w:szCs w:val="24"/>
          <w:lang w:val="en-US"/>
        </w:rPr>
        <w:t>ISRE</w:t>
      </w:r>
      <w:r w:rsidRPr="00035348">
        <w:rPr>
          <w:sz w:val="24"/>
          <w:szCs w:val="24"/>
        </w:rPr>
        <w:t xml:space="preserve">, </w:t>
      </w:r>
      <w:r w:rsidRPr="00035348">
        <w:rPr>
          <w:sz w:val="24"/>
          <w:szCs w:val="24"/>
          <w:lang w:val="en-US"/>
        </w:rPr>
        <w:t>ISAE</w:t>
      </w:r>
      <w:r w:rsidRPr="00035348">
        <w:rPr>
          <w:sz w:val="24"/>
          <w:szCs w:val="24"/>
        </w:rPr>
        <w:t xml:space="preserve"> и </w:t>
      </w:r>
      <w:r w:rsidRPr="00035348">
        <w:rPr>
          <w:sz w:val="24"/>
          <w:szCs w:val="24"/>
          <w:lang w:val="en-US"/>
        </w:rPr>
        <w:t>ISRS</w:t>
      </w:r>
      <w:r w:rsidRPr="00035348">
        <w:rPr>
          <w:sz w:val="24"/>
          <w:szCs w:val="24"/>
        </w:rPr>
        <w:t xml:space="preserve"> совместно именуются «Стандарты аудиторских заданий </w:t>
      </w:r>
      <w:r w:rsidRPr="00035348">
        <w:rPr>
          <w:spacing w:val="-2"/>
          <w:sz w:val="24"/>
          <w:szCs w:val="24"/>
        </w:rPr>
        <w:t>IAASB</w:t>
      </w:r>
      <w:r w:rsidRPr="00035348">
        <w:rPr>
          <w:sz w:val="24"/>
          <w:szCs w:val="24"/>
        </w:rPr>
        <w:t>».</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10.</w:t>
      </w:r>
      <w:r w:rsidRPr="00035348">
        <w:rPr>
          <w:sz w:val="24"/>
          <w:szCs w:val="24"/>
        </w:rPr>
        <w:tab/>
        <w:t xml:space="preserve">Международные стандарты контроля качества (МСКК) следует применять ко всем услугам, подпадающим под действие Стандартов аудиторских заданий </w:t>
      </w:r>
      <w:r w:rsidRPr="00035348">
        <w:rPr>
          <w:spacing w:val="-2"/>
          <w:sz w:val="24"/>
          <w:szCs w:val="24"/>
        </w:rPr>
        <w:t>IAASB</w:t>
      </w:r>
      <w:r w:rsidRPr="00035348">
        <w:rPr>
          <w:sz w:val="24"/>
          <w:szCs w:val="24"/>
        </w:rPr>
        <w:t>.</w:t>
      </w:r>
    </w:p>
    <w:p w:rsidR="00096F39" w:rsidRPr="00035348" w:rsidRDefault="00096F39" w:rsidP="00096F39">
      <w:pPr>
        <w:pStyle w:val="Heading3"/>
        <w:keepNext w:val="0"/>
        <w:keepLines w:val="0"/>
        <w:spacing w:before="120" w:after="0" w:line="240" w:lineRule="auto"/>
        <w:ind w:left="720" w:hanging="720"/>
        <w:jc w:val="both"/>
      </w:pPr>
      <w:r w:rsidRPr="00035348">
        <w:t>Международные стандарты аудита</w:t>
      </w: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11.</w:t>
      </w:r>
      <w:r w:rsidRPr="00035348">
        <w:rPr>
          <w:sz w:val="24"/>
          <w:szCs w:val="24"/>
        </w:rPr>
        <w:tab/>
        <w:t>Международные стандарты аудита созданы для целей аудита финансовой отчетности,</w:t>
      </w:r>
      <w:r w:rsidRPr="00035348">
        <w:rPr>
          <w:rStyle w:val="FootnoteReference"/>
          <w:sz w:val="24"/>
          <w:szCs w:val="24"/>
        </w:rPr>
        <w:footnoteReference w:id="2"/>
      </w:r>
      <w:r w:rsidRPr="00035348">
        <w:rPr>
          <w:sz w:val="24"/>
          <w:szCs w:val="24"/>
        </w:rPr>
        <w:t xml:space="preserve"> проводимого независимым аудитором. При применении к аудиту другой финансовой информации за прошлые периоды их следует соответствующим образом адаптировать, если необходимо. Сфера действия МСА изложена в МСА 200.</w:t>
      </w:r>
      <w:r w:rsidRPr="00035348">
        <w:rPr>
          <w:rStyle w:val="FootnoteReference"/>
          <w:sz w:val="24"/>
          <w:szCs w:val="24"/>
        </w:rPr>
        <w:footnoteReference w:id="3"/>
      </w:r>
    </w:p>
    <w:p w:rsidR="00096F39" w:rsidRPr="00035348" w:rsidRDefault="00096F39" w:rsidP="00096F39">
      <w:pPr>
        <w:pStyle w:val="Heading3"/>
        <w:keepNext w:val="0"/>
        <w:keepLines w:val="0"/>
        <w:spacing w:before="120" w:after="0" w:line="240" w:lineRule="auto"/>
        <w:ind w:left="720" w:hanging="720"/>
        <w:jc w:val="both"/>
      </w:pPr>
      <w:r w:rsidRPr="00035348">
        <w:t>Международные стандарты контроля качества</w:t>
      </w: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12.</w:t>
      </w:r>
      <w:r w:rsidRPr="00035348">
        <w:rPr>
          <w:sz w:val="24"/>
          <w:szCs w:val="24"/>
        </w:rPr>
        <w:tab/>
        <w:t>Международные стандарты контроля качества (МСКК) созданы для применения ко всем оказываемым фирмами услугам, подпадающим под Стандарты аудиторских заданий IAASB. Сфера действия МСКК изложена в предисловии к МСКК.</w:t>
      </w:r>
    </w:p>
    <w:p w:rsidR="00096F39" w:rsidRPr="00035348" w:rsidRDefault="00096F39" w:rsidP="00096F39">
      <w:pPr>
        <w:pStyle w:val="Heading3"/>
        <w:keepNext w:val="0"/>
        <w:keepLines w:val="0"/>
        <w:spacing w:before="120" w:after="0" w:line="240" w:lineRule="auto"/>
        <w:ind w:left="720" w:hanging="720"/>
        <w:jc w:val="both"/>
      </w:pPr>
      <w:r w:rsidRPr="00035348">
        <w:t>Другие международные стандарты</w:t>
      </w:r>
    </w:p>
    <w:p w:rsidR="00096F39" w:rsidRPr="00035348" w:rsidRDefault="00096F39" w:rsidP="00096F39">
      <w:pPr>
        <w:pStyle w:val="NumberedParagraph-BulletelistLeft0Firstline0"/>
        <w:numPr>
          <w:ilvl w:val="0"/>
          <w:numId w:val="0"/>
        </w:numPr>
        <w:spacing w:line="240" w:lineRule="auto"/>
        <w:ind w:left="720" w:hanging="540"/>
        <w:rPr>
          <w:sz w:val="24"/>
          <w:szCs w:val="24"/>
        </w:rPr>
      </w:pPr>
      <w:r w:rsidRPr="00035348">
        <w:rPr>
          <w:sz w:val="24"/>
          <w:szCs w:val="24"/>
        </w:rPr>
        <w:t>13.</w:t>
      </w:r>
      <w:r w:rsidRPr="00035348">
        <w:rPr>
          <w:sz w:val="24"/>
          <w:szCs w:val="24"/>
        </w:rPr>
        <w:tab/>
        <w:t>Некоторые из Международных стандартов, указанных в пунктах 6-8, содержат цели, требования, применение и другие пояснительные и вводные материалы и определения. Эти термины следует толковать в соответствии с их определением, приведенным в МСА и положениях об аудите финансовой отчетности МСА 200.</w:t>
      </w: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14.</w:t>
      </w:r>
      <w:r w:rsidRPr="00035348">
        <w:rPr>
          <w:sz w:val="24"/>
          <w:szCs w:val="24"/>
        </w:rPr>
        <w:tab/>
        <w:t>Другие Международные стандарты, указанные в пунктах 6-8, определяют основные принципы и обязательные процедуры (выделяются жирным шрифтом и словом «следует»), а также соответствующие методологические принципы в виде пояснительных и других материалов, включая приложения. Основные принципы и обязательные процедуры следует понимать и применять в контексте пояснительных и других материалов, которые содержат рекомендации по их применению. Поэтому, чтобы понять и применять основные принципы и обязательные процедуры, необходимо уяснить весь текст Стандарта в совокупности.</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15.</w:t>
      </w:r>
      <w:r w:rsidRPr="00035348">
        <w:rPr>
          <w:sz w:val="24"/>
          <w:szCs w:val="24"/>
        </w:rPr>
        <w:tab/>
        <w:t xml:space="preserve">Предусмотренные </w:t>
      </w:r>
      <w:r>
        <w:rPr>
          <w:sz w:val="24"/>
          <w:szCs w:val="24"/>
        </w:rPr>
        <w:t>с</w:t>
      </w:r>
      <w:r w:rsidRPr="00035348">
        <w:rPr>
          <w:sz w:val="24"/>
          <w:szCs w:val="24"/>
        </w:rPr>
        <w:t>тандартом основные принципы и обязательные процедуры следует применять всегда, когда они соответствуют условиям задания. Однако в исключительных случаях профессиональный бухгалтер может сделать вывод о необходимости отклониться от соответствующей обязательной процедуры для достижения целей этой процедуры. При возникновении такой ситуации профессиональный бухгалтер должен документально разъяснить, как выполненные альтернативные процедуры достигают соответствующей цели, и причины отклонения, если они не ясны. Предполагается, что у профессионального бухгалтера необходимость отклониться от соответствующей обязательной процедуры возникает только в особых обстоятельствах выполнения задания, при которых такая обязательная процедура будет неэффективной.</w:t>
      </w:r>
    </w:p>
    <w:p w:rsidR="00096F39" w:rsidRPr="00035348" w:rsidRDefault="00096F39" w:rsidP="00096F39">
      <w:pPr>
        <w:pStyle w:val="NumberedParagraph-BulletelistLeft0Firstline0"/>
        <w:numPr>
          <w:ilvl w:val="0"/>
          <w:numId w:val="0"/>
        </w:numPr>
        <w:tabs>
          <w:tab w:val="num" w:pos="720"/>
        </w:tabs>
        <w:spacing w:line="240" w:lineRule="auto"/>
        <w:ind w:left="720" w:hanging="576"/>
        <w:rPr>
          <w:sz w:val="24"/>
          <w:szCs w:val="24"/>
        </w:rPr>
      </w:pPr>
      <w:r w:rsidRPr="00035348">
        <w:rPr>
          <w:sz w:val="24"/>
          <w:szCs w:val="24"/>
        </w:rPr>
        <w:t xml:space="preserve">16. </w:t>
      </w:r>
      <w:r w:rsidRPr="00035348">
        <w:rPr>
          <w:sz w:val="24"/>
          <w:szCs w:val="24"/>
        </w:rPr>
        <w:tab/>
        <w:t xml:space="preserve">Приложения, входящие в состав материалов по применению </w:t>
      </w:r>
      <w:r>
        <w:rPr>
          <w:sz w:val="24"/>
          <w:szCs w:val="24"/>
        </w:rPr>
        <w:t>с</w:t>
      </w:r>
      <w:r w:rsidRPr="00035348">
        <w:rPr>
          <w:sz w:val="24"/>
          <w:szCs w:val="24"/>
        </w:rPr>
        <w:t xml:space="preserve">тандарта, составляют его неотъемлемую часть. Цель и предполагаемое использование приложения </w:t>
      </w:r>
      <w:r w:rsidRPr="00035348">
        <w:rPr>
          <w:sz w:val="24"/>
          <w:szCs w:val="24"/>
        </w:rPr>
        <w:lastRenderedPageBreak/>
        <w:t xml:space="preserve">разъясняются в тексте соответствующего </w:t>
      </w:r>
      <w:r>
        <w:rPr>
          <w:sz w:val="24"/>
          <w:szCs w:val="24"/>
        </w:rPr>
        <w:t>с</w:t>
      </w:r>
      <w:r w:rsidRPr="00035348">
        <w:rPr>
          <w:sz w:val="24"/>
          <w:szCs w:val="24"/>
        </w:rPr>
        <w:t>тандарта или в предисловии к самому приложению.</w:t>
      </w:r>
    </w:p>
    <w:p w:rsidR="00096F39" w:rsidRPr="00035348" w:rsidRDefault="00096F39" w:rsidP="00096F39">
      <w:pPr>
        <w:pStyle w:val="Heading3"/>
        <w:keepNext w:val="0"/>
        <w:keepLines w:val="0"/>
        <w:spacing w:before="120" w:after="0" w:line="240" w:lineRule="auto"/>
        <w:ind w:left="720" w:hanging="720"/>
        <w:jc w:val="both"/>
      </w:pPr>
      <w:r w:rsidRPr="00035348">
        <w:t xml:space="preserve">Профессиональное суждение </w:t>
      </w: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17.</w:t>
      </w:r>
      <w:r w:rsidRPr="00035348">
        <w:rPr>
          <w:sz w:val="24"/>
          <w:szCs w:val="24"/>
        </w:rPr>
        <w:tab/>
        <w:t xml:space="preserve">Суть Международных стандартов требует от профессионального бухгалтера использовать при их применении профессиональное суждение. </w:t>
      </w:r>
    </w:p>
    <w:p w:rsidR="00096F39" w:rsidRPr="00096F39" w:rsidRDefault="00096F39" w:rsidP="00096F39">
      <w:pPr>
        <w:pStyle w:val="Heading3"/>
        <w:keepNext w:val="0"/>
        <w:keepLines w:val="0"/>
        <w:spacing w:before="120" w:after="0" w:line="240" w:lineRule="auto"/>
        <w:ind w:left="720" w:hanging="720"/>
        <w:jc w:val="both"/>
      </w:pPr>
    </w:p>
    <w:p w:rsidR="00096F39" w:rsidRPr="00035348" w:rsidRDefault="00096F39" w:rsidP="00096F39">
      <w:pPr>
        <w:pStyle w:val="Heading3"/>
        <w:keepNext w:val="0"/>
        <w:keepLines w:val="0"/>
        <w:spacing w:before="120" w:after="0" w:line="240" w:lineRule="auto"/>
        <w:ind w:left="720" w:hanging="720"/>
        <w:jc w:val="both"/>
      </w:pPr>
      <w:r w:rsidRPr="00035348">
        <w:t>Применимость Международных стандартов</w:t>
      </w: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18.</w:t>
      </w:r>
      <w:r w:rsidRPr="00035348">
        <w:rPr>
          <w:sz w:val="24"/>
          <w:szCs w:val="24"/>
        </w:rPr>
        <w:tab/>
        <w:t xml:space="preserve">Сфера действия, дата вступления в силу и какие-либо конкретные ограничения в отношении применимости конкретных Международных стандартов указаны в соответствующем </w:t>
      </w:r>
      <w:r>
        <w:rPr>
          <w:sz w:val="24"/>
          <w:szCs w:val="24"/>
        </w:rPr>
        <w:t>с</w:t>
      </w:r>
      <w:r w:rsidRPr="00035348">
        <w:rPr>
          <w:sz w:val="24"/>
          <w:szCs w:val="24"/>
        </w:rPr>
        <w:t>тандарте. Если в Международном стандарте не указано иное, профессиональному бухгалтеру разрешается применять такой Международный стандарт до наступления указанной в нем даты вступления в силу.</w:t>
      </w:r>
    </w:p>
    <w:p w:rsidR="00096F39" w:rsidRPr="00035348" w:rsidRDefault="00096F39" w:rsidP="00096F39">
      <w:pPr>
        <w:pStyle w:val="NumberedParagraph-BulletelistLeft0Firstline0"/>
        <w:numPr>
          <w:ilvl w:val="0"/>
          <w:numId w:val="0"/>
        </w:numPr>
        <w:spacing w:after="120" w:line="240" w:lineRule="auto"/>
        <w:ind w:left="720" w:hanging="576"/>
        <w:rPr>
          <w:sz w:val="24"/>
          <w:szCs w:val="24"/>
        </w:rPr>
      </w:pPr>
      <w:r w:rsidRPr="00035348">
        <w:rPr>
          <w:sz w:val="24"/>
          <w:szCs w:val="24"/>
        </w:rPr>
        <w:t>19.</w:t>
      </w:r>
      <w:r w:rsidRPr="00035348">
        <w:rPr>
          <w:sz w:val="24"/>
          <w:szCs w:val="24"/>
        </w:rPr>
        <w:tab/>
        <w:t>Международные стандарты относятся также к заданиям, выполняемым в государственном секторе. При необходимости дополнительные соображения, касающиеся организаций государственного сектора, входят:</w:t>
      </w:r>
    </w:p>
    <w:p w:rsidR="00096F39" w:rsidRPr="00035348" w:rsidRDefault="00096F39" w:rsidP="00096F39">
      <w:pPr>
        <w:pStyle w:val="NumberedParagraph-BulletelistLeft0Firstline0"/>
        <w:numPr>
          <w:ilvl w:val="0"/>
          <w:numId w:val="0"/>
        </w:numPr>
        <w:spacing w:line="240" w:lineRule="auto"/>
        <w:ind w:left="1350" w:hanging="576"/>
        <w:rPr>
          <w:sz w:val="24"/>
          <w:szCs w:val="24"/>
        </w:rPr>
      </w:pPr>
      <w:r w:rsidRPr="00035348">
        <w:rPr>
          <w:sz w:val="24"/>
          <w:szCs w:val="24"/>
        </w:rPr>
        <w:t xml:space="preserve">(a) </w:t>
      </w:r>
      <w:r w:rsidRPr="00035348">
        <w:rPr>
          <w:sz w:val="24"/>
          <w:szCs w:val="24"/>
        </w:rPr>
        <w:tab/>
        <w:t xml:space="preserve">в текст Международного стандарта в случае МСА и МСКК; или </w:t>
      </w:r>
    </w:p>
    <w:p w:rsidR="00096F39" w:rsidRPr="00035348" w:rsidRDefault="00096F39" w:rsidP="00096F39">
      <w:pPr>
        <w:pStyle w:val="NumberedParagraph-BulletelistLeft0Firstline0"/>
        <w:numPr>
          <w:ilvl w:val="0"/>
          <w:numId w:val="0"/>
        </w:numPr>
        <w:spacing w:line="240" w:lineRule="auto"/>
        <w:ind w:left="1350" w:hanging="576"/>
        <w:rPr>
          <w:sz w:val="24"/>
          <w:szCs w:val="24"/>
        </w:rPr>
      </w:pPr>
      <w:r w:rsidRPr="00035348">
        <w:rPr>
          <w:sz w:val="24"/>
          <w:szCs w:val="24"/>
        </w:rPr>
        <w:t>(b)</w:t>
      </w:r>
      <w:r w:rsidRPr="00035348">
        <w:rPr>
          <w:sz w:val="24"/>
          <w:szCs w:val="24"/>
        </w:rPr>
        <w:tab/>
        <w:t>в раздел «Применение стандарта для организаций государственного сектора», приведенный в заключительной части других Международных стандартов.</w:t>
      </w:r>
    </w:p>
    <w:p w:rsidR="00096F39" w:rsidRPr="00035348" w:rsidRDefault="00096F39" w:rsidP="00096F39">
      <w:pPr>
        <w:pStyle w:val="Heading3"/>
        <w:keepNext w:val="0"/>
        <w:keepLines w:val="0"/>
        <w:spacing w:before="120" w:after="0" w:line="240" w:lineRule="auto"/>
        <w:ind w:left="720" w:hanging="720"/>
        <w:jc w:val="both"/>
      </w:pPr>
      <w:r w:rsidRPr="00035348">
        <w:t>Неофициальные материалы</w:t>
      </w:r>
    </w:p>
    <w:p w:rsidR="00096F39" w:rsidRPr="00035348" w:rsidRDefault="00096F39" w:rsidP="00096F39">
      <w:pPr>
        <w:pStyle w:val="NumberedParagraph"/>
        <w:spacing w:before="120" w:line="240" w:lineRule="auto"/>
      </w:pPr>
    </w:p>
    <w:p w:rsidR="00096F39" w:rsidRPr="00035348" w:rsidRDefault="00096F39" w:rsidP="00096F39">
      <w:pPr>
        <w:pStyle w:val="NumberedParagraph"/>
        <w:spacing w:before="120" w:line="240" w:lineRule="auto"/>
      </w:pPr>
      <w:r w:rsidRPr="00035348">
        <w:t>20.   Heофициальные материалы включают Положения по практическому    применению, выпущенные  IAASB, и публикации для сотрудников. Неофициальные материалы не входят в Международные стандарты IAASB.</w:t>
      </w:r>
    </w:p>
    <w:p w:rsidR="00096F39" w:rsidRPr="00035348" w:rsidRDefault="00096F39" w:rsidP="00096F39">
      <w:pPr>
        <w:pStyle w:val="Heading3"/>
        <w:keepNext w:val="0"/>
        <w:keepLines w:val="0"/>
        <w:spacing w:before="120" w:after="0" w:line="240" w:lineRule="auto"/>
        <w:ind w:left="720" w:hanging="720"/>
        <w:jc w:val="both"/>
      </w:pPr>
      <w:r w:rsidRPr="00035348">
        <w:t>Положения по применению Международных стандартов аудита</w:t>
      </w:r>
    </w:p>
    <w:p w:rsidR="00096F39" w:rsidRPr="00035348" w:rsidRDefault="00096F39" w:rsidP="00096F39">
      <w:pPr>
        <w:pStyle w:val="NumberedParagraph"/>
        <w:spacing w:before="120" w:line="240" w:lineRule="auto"/>
      </w:pPr>
    </w:p>
    <w:p w:rsidR="00096F39" w:rsidRPr="00035348" w:rsidRDefault="00096F39" w:rsidP="00096F39">
      <w:pPr>
        <w:pStyle w:val="NumberedParagraph"/>
        <w:spacing w:before="120" w:line="240" w:lineRule="auto"/>
      </w:pPr>
      <w:r w:rsidRPr="00035348">
        <w:t>21.    Положения по применению международных стандартов (IAPN) не устанавливают каки</w:t>
      </w:r>
      <w:r>
        <w:t>х</w:t>
      </w:r>
      <w:r w:rsidRPr="00035348">
        <w:t>-либо дополнительны</w:t>
      </w:r>
      <w:r>
        <w:t>х</w:t>
      </w:r>
      <w:r w:rsidRPr="00035348">
        <w:t xml:space="preserve"> требовани</w:t>
      </w:r>
      <w:r>
        <w:t>й</w:t>
      </w:r>
      <w:r w:rsidRPr="00035348">
        <w:t>, выходящи</w:t>
      </w:r>
      <w:r>
        <w:t>х</w:t>
      </w:r>
      <w:r w:rsidRPr="00035348">
        <w:t xml:space="preserve"> за пределы МСА, и не меняют обязанности аудитора соблюдать все МСА, имеющие отношение к аудиту. IAPN оказывают практическую помощь аудиторам. Предполагается, что они должны распространяться лицами, отвечающими за национальные стандарты, или могут использоваться при разработке соответствующих национальных документов. Они также содержат материалы, которые фирмы могут использовать в разработке собственных учебных программ и внутренних инструкций.</w:t>
      </w:r>
    </w:p>
    <w:p w:rsidR="00096F39" w:rsidRPr="00035348" w:rsidRDefault="00096F39" w:rsidP="00096F39">
      <w:pPr>
        <w:pStyle w:val="NumberedParagraph"/>
        <w:spacing w:before="120" w:line="240" w:lineRule="auto"/>
      </w:pPr>
    </w:p>
    <w:p w:rsidR="00096F39" w:rsidRPr="00035348" w:rsidRDefault="00096F39" w:rsidP="00096F39">
      <w:pPr>
        <w:pStyle w:val="NumberedParagraph"/>
        <w:spacing w:before="120" w:line="240" w:lineRule="auto"/>
      </w:pPr>
      <w:r w:rsidRPr="00035348">
        <w:t>22.  В зависимости от сути освещаемых вопросов IAPN могут помочь аудиторам:</w:t>
      </w:r>
    </w:p>
    <w:p w:rsidR="00096F39" w:rsidRPr="00035348" w:rsidRDefault="00096F39" w:rsidP="00096F39">
      <w:pPr>
        <w:pStyle w:val="NumberedParagraph"/>
        <w:spacing w:before="120" w:line="240" w:lineRule="auto"/>
      </w:pPr>
      <w:r w:rsidRPr="00035348">
        <w:t>•</w:t>
      </w:r>
      <w:r w:rsidRPr="00035348">
        <w:tab/>
        <w:t xml:space="preserve">      получить понимание обстоятельств деятельности организации и вынести суждения о выявлении и оценке рисков существенного искажения;</w:t>
      </w:r>
    </w:p>
    <w:p w:rsidR="00096F39" w:rsidRPr="00035348" w:rsidRDefault="00096F39" w:rsidP="00096F39">
      <w:pPr>
        <w:pStyle w:val="NumberedParagraph"/>
        <w:spacing w:before="120" w:line="240" w:lineRule="auto"/>
      </w:pPr>
      <w:r w:rsidRPr="00035348">
        <w:t>•</w:t>
      </w:r>
      <w:r w:rsidRPr="00035348">
        <w:tab/>
        <w:t xml:space="preserve">       вынести суждения о том, как реагировать на оцененные риски, включая процедуры, которые могут быть уместны в данных обстоятельствах;</w:t>
      </w:r>
    </w:p>
    <w:p w:rsidR="00096F39" w:rsidRPr="00035348" w:rsidRDefault="00096F39" w:rsidP="00096F39">
      <w:pPr>
        <w:pStyle w:val="NumberedParagraph"/>
        <w:spacing w:before="120" w:line="240" w:lineRule="auto"/>
      </w:pPr>
      <w:r w:rsidRPr="00035348">
        <w:t>•</w:t>
      </w:r>
      <w:r w:rsidRPr="00035348">
        <w:tab/>
        <w:t xml:space="preserve">       проанализировать вопросы, связанные с отчетностью, в том числе сформировать мнение по финансовой отчетности и наладить взаимодействие с представителями собственника.</w:t>
      </w:r>
    </w:p>
    <w:p w:rsidR="00096F39" w:rsidRPr="00035348" w:rsidRDefault="00096F39" w:rsidP="00096F39">
      <w:pPr>
        <w:pStyle w:val="Heading3"/>
        <w:keepNext w:val="0"/>
        <w:keepLines w:val="0"/>
        <w:spacing w:before="120" w:after="0" w:line="240" w:lineRule="auto"/>
        <w:ind w:left="720" w:hanging="720"/>
        <w:jc w:val="both"/>
      </w:pPr>
      <w:r w:rsidRPr="00035348">
        <w:t>Положения по практическому применению других международных стандартов</w:t>
      </w:r>
    </w:p>
    <w:p w:rsidR="00096F39" w:rsidRPr="00035348" w:rsidRDefault="00096F39" w:rsidP="00096F39">
      <w:pPr>
        <w:pStyle w:val="NumberedParagraph"/>
        <w:spacing w:before="120" w:line="240" w:lineRule="auto"/>
        <w:rPr>
          <w:lang w:bidi="ar-SA"/>
        </w:rPr>
      </w:pPr>
      <w:r w:rsidRPr="00035348">
        <w:lastRenderedPageBreak/>
        <w:t>23.</w:t>
      </w:r>
      <w:r w:rsidRPr="00035348">
        <w:tab/>
        <w:t xml:space="preserve">  </w:t>
      </w:r>
      <w:r w:rsidRPr="00035348">
        <w:rPr>
          <w:lang w:bidi="ar-SA"/>
        </w:rPr>
        <w:t>IAASB может также выпускать Положения по практическому применению международных стандартов обзорных проверок (IREPN), Положения по практическому применению  международных стандартов заданий по подтверждению достоверности информации (IAEPN) и Положения по практическому применению  международных стандартов сопутствующих услуг (IRSPN), которые служат тем же целям в отношении Международных стандартов обзорных проверок (ISRE), Международных стандартов заданий по подтверждению достоверности информации (ISAE) и Международных стандартов сопутствующих услуг (ISRS), соответственно.</w:t>
      </w:r>
    </w:p>
    <w:p w:rsidR="00096F39" w:rsidRPr="00035348" w:rsidRDefault="00096F39" w:rsidP="00096F39">
      <w:pPr>
        <w:pStyle w:val="NumberedParagraph"/>
        <w:spacing w:before="120" w:line="240" w:lineRule="auto"/>
      </w:pPr>
    </w:p>
    <w:p w:rsidR="00096F39" w:rsidRPr="00035348" w:rsidRDefault="00096F39" w:rsidP="00096F39">
      <w:pPr>
        <w:pStyle w:val="Heading3"/>
        <w:keepNext w:val="0"/>
        <w:keepLines w:val="0"/>
        <w:spacing w:before="120" w:after="0" w:line="240" w:lineRule="auto"/>
        <w:ind w:left="720" w:hanging="720"/>
        <w:jc w:val="both"/>
      </w:pPr>
      <w:r w:rsidRPr="00035348">
        <w:t>Публикации для сотрудников</w:t>
      </w:r>
    </w:p>
    <w:p w:rsidR="00096F39" w:rsidRPr="00035348" w:rsidRDefault="00096F39" w:rsidP="00096F39">
      <w:pPr>
        <w:pStyle w:val="NumberedParagraph"/>
        <w:spacing w:before="120" w:line="240" w:lineRule="auto"/>
      </w:pP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24. Публикации для сотрудников имеют целью повысить осведомленность специалистов о существенных новых или возникающих вопросах посредством отсылки к существующим требованиям и практическим материалам или обратить их внимание на соответствующие документы IAASB.</w:t>
      </w:r>
    </w:p>
    <w:p w:rsidR="00096F39" w:rsidRPr="00035348" w:rsidRDefault="00096F39" w:rsidP="00096F39">
      <w:pPr>
        <w:pStyle w:val="Heading2"/>
        <w:spacing w:before="120" w:after="0" w:line="240" w:lineRule="auto"/>
        <w:jc w:val="both"/>
        <w:rPr>
          <w:sz w:val="24"/>
          <w:szCs w:val="24"/>
        </w:rPr>
      </w:pPr>
      <w:r w:rsidRPr="00035348">
        <w:rPr>
          <w:sz w:val="24"/>
          <w:szCs w:val="24"/>
        </w:rPr>
        <w:t>Язык</w:t>
      </w:r>
    </w:p>
    <w:p w:rsidR="00096F39" w:rsidRPr="00035348" w:rsidRDefault="00096F39" w:rsidP="00096F39">
      <w:pPr>
        <w:pStyle w:val="NumberedParagraph-BulletelistLeft0Firstline0"/>
        <w:numPr>
          <w:ilvl w:val="0"/>
          <w:numId w:val="0"/>
        </w:numPr>
        <w:spacing w:line="240" w:lineRule="auto"/>
        <w:ind w:left="720" w:hanging="576"/>
        <w:rPr>
          <w:sz w:val="24"/>
          <w:szCs w:val="24"/>
        </w:rPr>
      </w:pPr>
      <w:r w:rsidRPr="00035348">
        <w:rPr>
          <w:sz w:val="24"/>
          <w:szCs w:val="24"/>
        </w:rPr>
        <w:t>25.</w:t>
      </w:r>
      <w:r w:rsidRPr="00035348">
        <w:rPr>
          <w:sz w:val="24"/>
          <w:szCs w:val="24"/>
        </w:rPr>
        <w:tab/>
        <w:t>Единственным официальным текстом проекта стандарта, Международного стандарта, Положения о практическом применении стандарта или другого документа является текст, опубликованный Комитетом IAASB на английском языке.</w:t>
      </w:r>
    </w:p>
    <w:p w:rsidR="00096F39" w:rsidRPr="00F62421" w:rsidRDefault="00096F39" w:rsidP="00096F39">
      <w:pPr>
        <w:spacing w:before="120" w:line="240" w:lineRule="auto"/>
      </w:pPr>
    </w:p>
    <w:p w:rsidR="00020439" w:rsidRDefault="00020439"/>
    <w:sectPr w:rsidR="00020439" w:rsidSect="0002043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F5" w:rsidRDefault="00D47FF5" w:rsidP="00096F39">
      <w:pPr>
        <w:spacing w:line="240" w:lineRule="auto"/>
      </w:pPr>
      <w:r>
        <w:separator/>
      </w:r>
    </w:p>
  </w:endnote>
  <w:endnote w:type="continuationSeparator" w:id="1">
    <w:p w:rsidR="00D47FF5" w:rsidRDefault="00D47FF5" w:rsidP="00096F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F5" w:rsidRDefault="00D47FF5" w:rsidP="00096F39">
      <w:pPr>
        <w:spacing w:line="240" w:lineRule="auto"/>
      </w:pPr>
      <w:r>
        <w:separator/>
      </w:r>
    </w:p>
  </w:footnote>
  <w:footnote w:type="continuationSeparator" w:id="1">
    <w:p w:rsidR="00D47FF5" w:rsidRDefault="00D47FF5" w:rsidP="00096F39">
      <w:pPr>
        <w:spacing w:line="240" w:lineRule="auto"/>
      </w:pPr>
      <w:r>
        <w:continuationSeparator/>
      </w:r>
    </w:p>
  </w:footnote>
  <w:footnote w:id="2">
    <w:p w:rsidR="00096F39" w:rsidRPr="00C224CA" w:rsidRDefault="00096F39" w:rsidP="00096F39">
      <w:pPr>
        <w:pStyle w:val="FootnoteText"/>
        <w:tabs>
          <w:tab w:val="clear" w:pos="480"/>
          <w:tab w:val="left" w:pos="360"/>
        </w:tabs>
        <w:spacing w:after="60" w:line="200" w:lineRule="exact"/>
        <w:ind w:left="360" w:hanging="360"/>
        <w:jc w:val="left"/>
        <w:rPr>
          <w:sz w:val="16"/>
          <w:szCs w:val="16"/>
        </w:rPr>
      </w:pPr>
      <w:r>
        <w:rPr>
          <w:rStyle w:val="FootnoteReference"/>
          <w:kern w:val="12"/>
          <w:position w:val="6"/>
          <w:sz w:val="14"/>
        </w:rPr>
        <w:footnoteRef/>
      </w:r>
      <w:r>
        <w:rPr>
          <w:sz w:val="16"/>
        </w:rPr>
        <w:t xml:space="preserve"> </w:t>
      </w:r>
      <w:r>
        <w:rPr>
          <w:sz w:val="16"/>
        </w:rPr>
        <w:tab/>
        <w:t>Если не указано иное, «финансовая отчетность» означает финансовую отчетность, содержащую финансовую информацию за прошлые периоды.</w:t>
      </w:r>
    </w:p>
  </w:footnote>
  <w:footnote w:id="3">
    <w:p w:rsidR="00096F39" w:rsidRDefault="00096F39" w:rsidP="00096F39">
      <w:pPr>
        <w:pStyle w:val="Numberedparagraph0"/>
        <w:tabs>
          <w:tab w:val="clear" w:pos="720"/>
          <w:tab w:val="left" w:pos="360"/>
        </w:tabs>
        <w:spacing w:before="0" w:after="60" w:line="200" w:lineRule="exact"/>
        <w:ind w:left="360" w:hanging="360"/>
        <w:jc w:val="left"/>
      </w:pPr>
      <w:r>
        <w:rPr>
          <w:rStyle w:val="FootnoteReference"/>
        </w:rPr>
        <w:footnoteRef/>
      </w:r>
      <w:r>
        <w:t xml:space="preserve"> </w:t>
      </w:r>
      <w:r>
        <w:tab/>
      </w:r>
      <w:r>
        <w:rPr>
          <w:sz w:val="16"/>
        </w:rPr>
        <w:t>МСА 200 «Общие цели независимого аудитора и проведение аудита в соответствии с Международными стандартами аудита».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E15AB"/>
    <w:multiLevelType w:val="multilevel"/>
    <w:tmpl w:val="B1FEF5EE"/>
    <w:lvl w:ilvl="0">
      <w:start w:val="1"/>
      <w:numFmt w:val="decimal"/>
      <w:pStyle w:val="NumberedParagraph-BulletelistLeft0Firstline0"/>
      <w:lvlText w:val="%1."/>
      <w:lvlJc w:val="right"/>
      <w:pPr>
        <w:tabs>
          <w:tab w:val="num" w:pos="360"/>
        </w:tabs>
        <w:ind w:left="360" w:hanging="360"/>
      </w:pPr>
      <w:rPr>
        <w:rFonts w:hint="default"/>
        <w:b w:val="0"/>
      </w:rPr>
    </w:lvl>
    <w:lvl w:ilvl="1">
      <w:start w:val="1"/>
      <w:numFmt w:val="lowerLetter"/>
      <w:lvlText w:val="(%2)"/>
      <w:lvlJc w:val="right"/>
      <w:pPr>
        <w:tabs>
          <w:tab w:val="num" w:pos="965"/>
        </w:tabs>
        <w:ind w:left="965" w:hanging="360"/>
      </w:pPr>
      <w:rPr>
        <w:rFonts w:hint="default"/>
        <w:b w:val="0"/>
      </w:rPr>
    </w:lvl>
    <w:lvl w:ilvl="2">
      <w:start w:val="1"/>
      <w:numFmt w:val="lowerRoman"/>
      <w:lvlText w:val="(%3)"/>
      <w:lvlJc w:val="right"/>
      <w:pPr>
        <w:tabs>
          <w:tab w:val="num" w:pos="1512"/>
        </w:tabs>
        <w:ind w:left="1512"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6F39"/>
    <w:rsid w:val="00020439"/>
    <w:rsid w:val="00096F39"/>
    <w:rsid w:val="00D4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39"/>
    <w:pPr>
      <w:spacing w:after="0" w:line="280" w:lineRule="exact"/>
      <w:jc w:val="both"/>
    </w:pPr>
    <w:rPr>
      <w:rFonts w:ascii="Times New Roman" w:eastAsia="Times New Roman" w:hAnsi="Times New Roman" w:cs="Times New Roman"/>
      <w:kern w:val="8"/>
      <w:sz w:val="24"/>
      <w:szCs w:val="24"/>
      <w:lang w:bidi="he-IL"/>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 Cha"/>
    <w:basedOn w:val="Heading3"/>
    <w:next w:val="NumberedParagraph"/>
    <w:link w:val="Heading2Char"/>
    <w:qFormat/>
    <w:rsid w:val="00096F39"/>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
    <w:qFormat/>
    <w:rsid w:val="00096F39"/>
    <w:pPr>
      <w:keepNext/>
      <w:keepLines/>
      <w:spacing w:before="22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rsid w:val="00096F39"/>
    <w:rPr>
      <w:rFonts w:ascii="Times New Roman" w:eastAsia="Times New Roman" w:hAnsi="Times New Roman" w:cs="Times New Roman"/>
      <w:b/>
      <w:bCs/>
      <w:kern w:val="8"/>
      <w:sz w:val="28"/>
      <w:szCs w:val="28"/>
      <w:lang w:bidi="he-IL"/>
    </w:rPr>
  </w:style>
  <w:style w:type="character" w:customStyle="1" w:styleId="Heading3Char">
    <w:name w:val="Heading 3 Char"/>
    <w:aliases w:val="Heading 3 Char1 Char2,Heading 3 Char Char Char,Heading 3 Char2 Char Char,Heading 3 Char1 Char Char Char,Heading 3 Char Char Char Char Char,Heading 3 Char Char1 Char Char,Section Headings Char"/>
    <w:basedOn w:val="DefaultParagraphFont"/>
    <w:link w:val="Heading3"/>
    <w:rsid w:val="00096F39"/>
    <w:rPr>
      <w:rFonts w:ascii="Times New Roman" w:eastAsia="Times New Roman" w:hAnsi="Times New Roman" w:cs="Times New Roman"/>
      <w:b/>
      <w:bCs/>
      <w:kern w:val="8"/>
      <w:sz w:val="24"/>
      <w:szCs w:val="24"/>
      <w:lang w:bidi="he-IL"/>
    </w:rPr>
  </w:style>
  <w:style w:type="paragraph" w:customStyle="1" w:styleId="NumberedParagraph">
    <w:name w:val="Numbered Paragraph"/>
    <w:basedOn w:val="Normal"/>
    <w:link w:val="NumberedParagraphChar1"/>
    <w:rsid w:val="00096F39"/>
    <w:pPr>
      <w:tabs>
        <w:tab w:val="right" w:pos="312"/>
        <w:tab w:val="left" w:pos="480"/>
      </w:tabs>
      <w:ind w:left="480" w:hanging="480"/>
    </w:pPr>
    <w:rPr>
      <w:lang/>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r, Char, Cha"/>
    <w:basedOn w:val="Normal"/>
    <w:link w:val="FootnoteTextChar7"/>
    <w:rsid w:val="00096F39"/>
    <w:pPr>
      <w:tabs>
        <w:tab w:val="left" w:pos="480"/>
      </w:tabs>
      <w:spacing w:line="240" w:lineRule="exact"/>
      <w:ind w:left="480" w:hanging="480"/>
    </w:pPr>
    <w:rPr>
      <w:sz w:val="20"/>
      <w:szCs w:val="20"/>
      <w:lang/>
    </w:rPr>
  </w:style>
  <w:style w:type="character" w:customStyle="1" w:styleId="FootnoteTextChar">
    <w:name w:val="Footnote Text Char"/>
    <w:basedOn w:val="DefaultParagraphFont"/>
    <w:link w:val="FootnoteText"/>
    <w:uiPriority w:val="99"/>
    <w:semiHidden/>
    <w:rsid w:val="00096F39"/>
    <w:rPr>
      <w:rFonts w:ascii="Times New Roman" w:eastAsia="Times New Roman" w:hAnsi="Times New Roman" w:cs="Times New Roman"/>
      <w:kern w:val="8"/>
      <w:sz w:val="20"/>
      <w:szCs w:val="20"/>
      <w:lang w:bidi="he-IL"/>
    </w:rPr>
  </w:style>
  <w:style w:type="character" w:styleId="FootnoteReference">
    <w:name w:val="footnote reference"/>
    <w:rsid w:val="00096F39"/>
    <w:rPr>
      <w:vertAlign w:val="superscript"/>
      <w:lang w:val="ru-RU"/>
    </w:rPr>
  </w:style>
  <w:style w:type="paragraph" w:customStyle="1" w:styleId="NumberedParagraph-BulletelistLeft0Firstline0">
    <w:name w:val="Numbered Paragraph - Bullete list + Left:  0&quot; First line:  0&quot;"/>
    <w:basedOn w:val="Normal"/>
    <w:link w:val="NumberedParagraph-BulletelistLeft0Firstline0Char"/>
    <w:rsid w:val="00096F39"/>
    <w:pPr>
      <w:numPr>
        <w:numId w:val="1"/>
      </w:numPr>
      <w:spacing w:before="120" w:line="240" w:lineRule="exact"/>
    </w:pPr>
    <w:rPr>
      <w:sz w:val="20"/>
      <w:szCs w:val="20"/>
      <w:lang w:bidi="ar-SA"/>
    </w:rPr>
  </w:style>
  <w:style w:type="paragraph" w:customStyle="1" w:styleId="Numberedparagraph0">
    <w:name w:val="Numbered paragraph"/>
    <w:basedOn w:val="Normal"/>
    <w:rsid w:val="00096F39"/>
    <w:pPr>
      <w:tabs>
        <w:tab w:val="right" w:pos="360"/>
        <w:tab w:val="left" w:pos="720"/>
      </w:tabs>
      <w:spacing w:before="120" w:line="240" w:lineRule="exact"/>
      <w:ind w:left="720" w:hanging="720"/>
    </w:pPr>
    <w:rPr>
      <w:sz w:val="20"/>
      <w:szCs w:val="20"/>
      <w:lang w:bidi="ar-SA"/>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
    <w:link w:val="FootnoteText"/>
    <w:rsid w:val="00096F39"/>
    <w:rPr>
      <w:rFonts w:ascii="Times New Roman" w:eastAsia="Times New Roman" w:hAnsi="Times New Roman" w:cs="Times New Roman"/>
      <w:kern w:val="8"/>
      <w:sz w:val="20"/>
      <w:szCs w:val="20"/>
      <w:lang w:bidi="he-IL"/>
    </w:rPr>
  </w:style>
  <w:style w:type="character" w:customStyle="1" w:styleId="NumberedParagraph-BulletelistLeft0Firstline0Char">
    <w:name w:val="Numbered Paragraph - Bullete list + Left:  0&quot; First line:  0&quot; Char"/>
    <w:link w:val="NumberedParagraph-BulletelistLeft0Firstline0"/>
    <w:locked/>
    <w:rsid w:val="00096F39"/>
    <w:rPr>
      <w:rFonts w:ascii="Times New Roman" w:eastAsia="Times New Roman" w:hAnsi="Times New Roman" w:cs="Times New Roman"/>
      <w:kern w:val="8"/>
      <w:sz w:val="20"/>
      <w:szCs w:val="20"/>
      <w:lang/>
    </w:rPr>
  </w:style>
  <w:style w:type="character" w:customStyle="1" w:styleId="NumberedParagraphChar1">
    <w:name w:val="Numbered Paragraph Char1"/>
    <w:link w:val="NumberedParagraph"/>
    <w:locked/>
    <w:rsid w:val="00096F39"/>
    <w:rPr>
      <w:rFonts w:ascii="Times New Roman" w:eastAsia="Times New Roman" w:hAnsi="Times New Roman" w:cs="Times New Roman"/>
      <w:kern w:val="8"/>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2014-06-09T10:11:00Z</dcterms:created>
  <dcterms:modified xsi:type="dcterms:W3CDTF">2014-06-09T10:12:00Z</dcterms:modified>
</cp:coreProperties>
</file>